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 №3</w:t>
      </w:r>
    </w:p>
    <w:p w14:paraId="02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к приказу №</w:t>
      </w:r>
      <w:r>
        <w:rPr>
          <w:rFonts w:ascii="Times New Roman" w:hAnsi="Times New Roman"/>
          <w:b w:val="0"/>
          <w:sz w:val="24"/>
          <w:u w:val="single"/>
        </w:rPr>
        <w:t xml:space="preserve"> 258 о/д</w:t>
      </w:r>
      <w:r>
        <w:rPr>
          <w:rFonts w:ascii="Times New Roman" w:hAnsi="Times New Roman"/>
          <w:b w:val="0"/>
          <w:sz w:val="24"/>
        </w:rPr>
        <w:t xml:space="preserve"> от </w:t>
      </w:r>
      <w:r>
        <w:rPr>
          <w:rFonts w:ascii="Times New Roman" w:hAnsi="Times New Roman"/>
          <w:b w:val="0"/>
          <w:sz w:val="24"/>
          <w:u w:val="single"/>
        </w:rPr>
        <w:t>27 августа 2025г.</w:t>
      </w:r>
      <w:r>
        <w:rPr>
          <w:rFonts w:ascii="Times New Roman" w:hAnsi="Times New Roman"/>
          <w:b w:val="0"/>
          <w:sz w:val="24"/>
        </w:rPr>
        <w:t xml:space="preserve"> </w:t>
      </w:r>
    </w:p>
    <w:p w14:paraId="03000000">
      <w:pPr>
        <w:widowControl w:val="1"/>
        <w:spacing w:after="0"/>
        <w:ind w:firstLine="709"/>
        <w:contextualSpacing w:val="1"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spacing w:after="0"/>
        <w:ind w:firstLine="709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План</w:t>
      </w:r>
    </w:p>
    <w:p w14:paraId="05000000">
      <w:pPr>
        <w:widowControl w:val="1"/>
        <w:spacing w:after="0"/>
        <w:ind w:firstLine="709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заседаний ШВР МБОУ СОШ №32</w:t>
      </w:r>
    </w:p>
    <w:p w14:paraId="06000000">
      <w:pPr>
        <w:widowControl w:val="1"/>
        <w:spacing w:after="0"/>
        <w:ind w:firstLine="709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2025-</w:t>
      </w:r>
      <w:r>
        <w:rPr>
          <w:rFonts w:ascii="Times New Roman" w:hAnsi="Times New Roman"/>
          <w:b w:val="1"/>
          <w:sz w:val="24"/>
        </w:rPr>
        <w:t>202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 учебном году</w:t>
      </w:r>
    </w:p>
    <w:p w14:paraId="07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Layout w:type="fixed"/>
      </w:tblPr>
      <w:tblGrid>
        <w:gridCol w:w="6629"/>
        <w:gridCol w:w="1843"/>
        <w:gridCol w:w="1701"/>
      </w:tblGrid>
      <w:tr>
        <w:tc>
          <w:tcPr>
            <w:tcW w:type="dxa" w:w="6629"/>
          </w:tcPr>
          <w:p w14:paraId="08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Содержание работы</w:t>
            </w:r>
          </w:p>
        </w:tc>
        <w:tc>
          <w:tcPr>
            <w:tcW w:type="dxa" w:w="1843"/>
          </w:tcPr>
          <w:p w14:paraId="09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Сроки, ответственные</w:t>
            </w:r>
          </w:p>
        </w:tc>
        <w:tc>
          <w:tcPr>
            <w:tcW w:type="dxa" w:w="1701"/>
          </w:tcPr>
          <w:p w14:paraId="0A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Отметка о выполнении</w:t>
            </w:r>
          </w:p>
        </w:tc>
      </w:tr>
      <w:tr>
        <w:tc>
          <w:tcPr>
            <w:tcW w:type="dxa" w:w="6629"/>
          </w:tcPr>
          <w:p w14:paraId="0B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1. О создании ШВР в МБОУ СОШ Nº32. (Протокол №1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)</w:t>
            </w:r>
          </w:p>
          <w:p w14:paraId="0C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2. Утверждение состава штаба на 2025-2026 учебный год.</w:t>
            </w:r>
          </w:p>
          <w:p w14:paraId="0D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3.Утверждение плана заседаний штаба на 2025- 2026 учебный год.</w:t>
            </w:r>
          </w:p>
          <w:p w14:paraId="0E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 xml:space="preserve">4. О задачах и плане работы ШВР на 2025-2026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учебный год.</w:t>
            </w:r>
          </w:p>
        </w:tc>
        <w:tc>
          <w:tcPr>
            <w:tcW w:type="dxa" w:w="1843"/>
          </w:tcPr>
          <w:p w14:paraId="0F000000">
            <w:pPr>
              <w:widowControl w:val="1"/>
              <w:ind w:left="23"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  <w:p w14:paraId="10000000">
            <w:pPr>
              <w:widowControl w:val="1"/>
              <w:ind w:left="23"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11000000">
            <w:pPr>
              <w:widowControl w:val="1"/>
              <w:ind w:left="23"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12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13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Выявление проблемных учащихся, семей, формирование банка данных.</w:t>
            </w:r>
          </w:p>
          <w:p w14:paraId="14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2. О социальном паспорте школы на 2025 – 2026 учебный год.</w:t>
            </w:r>
          </w:p>
          <w:p w14:paraId="15000000">
            <w:pPr>
              <w:widowControl w:val="1"/>
              <w:spacing w:after="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3. О внеурочной занятости несовершеннолетних, состоящих на различных видах учета.</w:t>
            </w:r>
          </w:p>
          <w:p w14:paraId="16000000">
            <w:pPr>
              <w:widowControl w:val="1"/>
              <w:spacing w:line="276" w:lineRule="auto"/>
              <w:ind/>
              <w:contextualSpacing w:val="1"/>
              <w:jc w:val="both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Организация и итоги летнего труда и отдыха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5. О проведении социально-психологического тестирования.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6. О подготовке и проведении основных профилактических мероприятий сентября.</w:t>
            </w:r>
          </w:p>
        </w:tc>
        <w:tc>
          <w:tcPr>
            <w:tcW w:type="dxa" w:w="1843"/>
          </w:tcPr>
          <w:p w14:paraId="17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14:paraId="18000000">
            <w:pPr>
              <w:widowControl w:val="1"/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19000000">
            <w:pPr>
              <w:widowControl w:val="1"/>
              <w:ind w:left="23"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1A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1B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 выполнении решения заседания ШВР № 1.</w:t>
            </w:r>
          </w:p>
          <w:p w14:paraId="1C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Преемственность в учебно-воспитательном процессе при переходе ко 2-й ступени обучения.</w:t>
            </w:r>
          </w:p>
          <w:p w14:paraId="1D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Посещение классных часов.</w:t>
            </w:r>
          </w:p>
          <w:p w14:paraId="1E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Планирование мероприятий на осенние каникулы.</w:t>
            </w:r>
          </w:p>
          <w:p w14:paraId="1F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Анализ воспитательной работы за 1 </w:t>
            </w:r>
            <w:r>
              <w:rPr>
                <w:rFonts w:ascii="Times New Roman" w:hAnsi="Times New Roman"/>
                <w:sz w:val="24"/>
              </w:rPr>
              <w:t>четверть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2025-2026</w:t>
            </w:r>
            <w:r>
              <w:rPr>
                <w:rFonts w:ascii="Times New Roman" w:hAnsi="Times New Roman"/>
                <w:sz w:val="24"/>
              </w:rPr>
              <w:t xml:space="preserve"> учебного года.</w:t>
            </w:r>
          </w:p>
          <w:p w14:paraId="20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Организация работы по профилактике правонарушений </w:t>
            </w:r>
            <w:r>
              <w:rPr>
                <w:rFonts w:ascii="Times New Roman" w:hAnsi="Times New Roman"/>
                <w:sz w:val="24"/>
              </w:rPr>
              <w:t>среди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обучающихся.</w:t>
            </w:r>
          </w:p>
          <w:p w14:paraId="21000000">
            <w:pPr>
              <w:widowControl w:val="1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Адаптация обучающихся 5-х классов.</w:t>
            </w:r>
          </w:p>
        </w:tc>
        <w:tc>
          <w:tcPr>
            <w:tcW w:type="dxa" w:w="1843"/>
          </w:tcPr>
          <w:p w14:paraId="22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14:paraId="23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24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25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26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Анализ работы ШВР в период осенних каникул.</w:t>
            </w:r>
          </w:p>
          <w:p w14:paraId="27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Пропаганда ЗОЖ на уроках физической культуры.</w:t>
            </w:r>
          </w:p>
          <w:p w14:paraId="28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Организация и проведение посвящения в «Орлята России»</w:t>
            </w:r>
          </w:p>
          <w:p w14:paraId="29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Посещение классных часов.</w:t>
            </w:r>
          </w:p>
          <w:p w14:paraId="2A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Работа классных руководителей по реализации мер по профилактике безнадзорности и правонарушений несовершеннолетних.</w:t>
            </w:r>
          </w:p>
          <w:p w14:paraId="2B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Анализ работы по профилактике безнадзорности и правонарушений </w:t>
            </w:r>
            <w:r>
              <w:rPr>
                <w:rFonts w:ascii="Times New Roman" w:hAnsi="Times New Roman"/>
                <w:sz w:val="24"/>
              </w:rPr>
              <w:t>среди</w:t>
            </w:r>
            <w:r>
              <w:rPr>
                <w:rFonts w:ascii="Times New Roman" w:hAnsi="Times New Roman"/>
                <w:sz w:val="24"/>
              </w:rPr>
              <w:t xml:space="preserve"> обучающихся.</w:t>
            </w:r>
          </w:p>
        </w:tc>
        <w:tc>
          <w:tcPr>
            <w:tcW w:type="dxa" w:w="1843"/>
          </w:tcPr>
          <w:p w14:paraId="2C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  <w:p w14:paraId="2D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2E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2F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30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Анализ посещения членами ШВР классных часов в ноябре-декабре 2025 года.</w:t>
            </w:r>
          </w:p>
          <w:p w14:paraId="31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Проведение месячника правовых знаний, профилактики правонарушений. </w:t>
            </w:r>
          </w:p>
          <w:p w14:paraId="32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Об организации новогодних праздников для обучающихся школы.</w:t>
            </w:r>
          </w:p>
          <w:p w14:paraId="33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Организация занятости и досуга обучающихся в период зимних каникул.</w:t>
            </w:r>
          </w:p>
          <w:p w14:paraId="34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Отчет о деятельности ШВР за первое полугодие.</w:t>
            </w:r>
          </w:p>
        </w:tc>
        <w:tc>
          <w:tcPr>
            <w:tcW w:type="dxa" w:w="1843"/>
          </w:tcPr>
          <w:p w14:paraId="35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  <w:p w14:paraId="36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штаба </w:t>
            </w:r>
          </w:p>
          <w:p w14:paraId="37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38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39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Анализ проведения зимних каникул. </w:t>
            </w:r>
          </w:p>
          <w:p w14:paraId="3A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О плане подготовки к месячнику оборонно-массовой и военно-патриотической работы. </w:t>
            </w:r>
          </w:p>
          <w:p w14:paraId="3B000000">
            <w:pPr>
              <w:widowControl w:val="1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Об организации занятости подростков, состоящих на учёте, в мероприятиях месячника оборонно-массовой и </w:t>
            </w:r>
            <w:r>
              <w:rPr>
                <w:rFonts w:ascii="Times New Roman" w:hAnsi="Times New Roman"/>
                <w:sz w:val="24"/>
              </w:rPr>
              <w:t>военно</w:t>
            </w:r>
            <w:r>
              <w:rPr>
                <w:rFonts w:ascii="Times New Roman" w:hAnsi="Times New Roman"/>
                <w:sz w:val="24"/>
              </w:rPr>
              <w:t>- патриотической</w:t>
            </w:r>
            <w:r>
              <w:rPr>
                <w:rFonts w:ascii="Times New Roman" w:hAnsi="Times New Roman"/>
                <w:sz w:val="24"/>
              </w:rPr>
              <w:t xml:space="preserve"> работы.</w:t>
            </w:r>
          </w:p>
        </w:tc>
        <w:tc>
          <w:tcPr>
            <w:tcW w:type="dxa" w:w="1843"/>
          </w:tcPr>
          <w:p w14:paraId="3C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Январь </w:t>
            </w:r>
          </w:p>
          <w:p w14:paraId="3D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 ВР</w:t>
            </w:r>
          </w:p>
        </w:tc>
        <w:tc>
          <w:tcPr>
            <w:tcW w:type="dxa" w:w="1701"/>
          </w:tcPr>
          <w:p w14:paraId="3E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3F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Итоги проведения месячника оборонно-массовой и военно-патриотической работы.</w:t>
            </w:r>
          </w:p>
          <w:p w14:paraId="40000000">
            <w:pPr>
              <w:widowControl w:val="1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 ходе подготовки к организации весенних каникул 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 досуга обучающихся, состоящих на различных видах учета.</w:t>
            </w:r>
          </w:p>
        </w:tc>
        <w:tc>
          <w:tcPr>
            <w:tcW w:type="dxa" w:w="1843"/>
          </w:tcPr>
          <w:p w14:paraId="41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  <w:p w14:paraId="42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43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44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45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Итоги проведения весенних каникул.</w:t>
            </w:r>
          </w:p>
          <w:p w14:paraId="46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 О работе по профилактике наркомании, пропаганде здорового образа жизни среди детей, подростков и молодёжи.</w:t>
            </w:r>
          </w:p>
        </w:tc>
        <w:tc>
          <w:tcPr>
            <w:tcW w:type="dxa" w:w="1843"/>
          </w:tcPr>
          <w:p w14:paraId="47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14:paraId="48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49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4A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6629"/>
          </w:tcPr>
          <w:p w14:paraId="4B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Организация отдыха, оздоровления и </w:t>
            </w:r>
            <w:r>
              <w:rPr>
                <w:rFonts w:ascii="Times New Roman" w:hAnsi="Times New Roman"/>
                <w:sz w:val="24"/>
              </w:rPr>
              <w:t>занятости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 в летний период.</w:t>
            </w:r>
          </w:p>
          <w:p w14:paraId="4C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Работа классных руководителей по профилактике ДДТТ.</w:t>
            </w:r>
          </w:p>
          <w:p w14:paraId="4D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Работа по развитию ученического самоуправления.</w:t>
            </w:r>
          </w:p>
          <w:p w14:paraId="4E000000">
            <w:pPr>
              <w:widowControl w:val="1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t>4.Об организации и проведении школьных мероприятий в мае.</w:t>
            </w:r>
          </w:p>
        </w:tc>
        <w:tc>
          <w:tcPr>
            <w:tcW w:type="dxa" w:w="1843"/>
          </w:tcPr>
          <w:p w14:paraId="4F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14:paraId="50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Члены штаба </w:t>
            </w:r>
          </w:p>
          <w:p w14:paraId="51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52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1359"/>
        </w:trPr>
        <w:tc>
          <w:tcPr>
            <w:tcW w:type="dxa" w:w="6629"/>
          </w:tcPr>
          <w:p w14:paraId="53000000">
            <w:pPr>
              <w:widowControl w:val="1"/>
              <w:ind w:firstLine="0" w:left="0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-1"/>
                <w:sz w:val="24"/>
              </w:rPr>
              <w:t>1.Утверждение программы летней оздоровительной кампании «Лето - 2026». Утверждение плана работы оздоровительной площадки, лагеря дневного пребывания.</w:t>
            </w:r>
          </w:p>
          <w:p w14:paraId="54000000">
            <w:pPr>
              <w:widowControl w:val="1"/>
              <w:ind w:firstLine="0" w:left="0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2.Об организации временного трудоустройства несовершеннолетних в летний период 2026 года.</w:t>
            </w:r>
          </w:p>
          <w:p w14:paraId="55000000">
            <w:pPr>
              <w:widowControl w:val="1"/>
              <w:ind w:firstLine="0" w:left="0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3.Об организации работы ШВР в летний период, реализация межведомственной профилактической операции «Подросток-2026». </w:t>
            </w:r>
          </w:p>
          <w:p w14:paraId="56000000">
            <w:pPr>
              <w:widowControl w:val="1"/>
              <w:ind w:firstLine="0" w:left="0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4.О подготовке праздника «Последний звонок».</w:t>
            </w:r>
          </w:p>
          <w:p w14:paraId="57000000">
            <w:pPr>
              <w:widowControl w:val="1"/>
              <w:ind w:firstLine="0" w:left="0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Подведение итогов работы Штаба ВР за 2025-2026 учебный год.</w:t>
            </w:r>
          </w:p>
        </w:tc>
        <w:tc>
          <w:tcPr>
            <w:tcW w:type="dxa" w:w="1843"/>
          </w:tcPr>
          <w:p w14:paraId="58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  <w:p w14:paraId="59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Члены штаба</w:t>
            </w:r>
          </w:p>
          <w:p w14:paraId="5A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</w:t>
            </w:r>
          </w:p>
        </w:tc>
        <w:tc>
          <w:tcPr>
            <w:tcW w:type="dxa" w:w="1701"/>
          </w:tcPr>
          <w:p w14:paraId="5B000000">
            <w:pPr>
              <w:widowControl w:val="1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5C000000">
      <w:pPr>
        <w:widowControl w:val="1"/>
        <w:spacing w:after="0"/>
        <w:ind w:firstLine="709"/>
        <w:contextualSpacing w:val="1"/>
        <w:rPr>
          <w:rFonts w:ascii="Times New Roman" w:hAnsi="Times New Roman"/>
          <w:sz w:val="24"/>
        </w:rPr>
      </w:pPr>
    </w:p>
    <w:p w14:paraId="5D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5E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5F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60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61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62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63000000">
      <w:pPr>
        <w:widowControl w:val="1"/>
        <w:spacing w:after="0"/>
        <w:ind w:firstLine="709"/>
        <w:contextualSpacing w:val="1"/>
        <w:jc w:val="right"/>
        <w:rPr>
          <w:rFonts w:ascii="Times New Roman" w:hAnsi="Times New Roman"/>
          <w:b w:val="1"/>
          <w:sz w:val="24"/>
        </w:rPr>
      </w:pPr>
    </w:p>
    <w:p w14:paraId="64000000"/>
    <w:sectPr>
      <w:pgSz w:h="16838" w:orient="portrait" w:w="11906"/>
      <w:pgMar w:bottom="964" w:footer="708" w:gutter="0" w:header="708" w:left="85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widowControl w:val="1"/>
      <w:spacing w:after="0" w:line="240" w:lineRule="auto"/>
      <w:ind/>
    </w:pPr>
    <w:rPr>
      <w:rFonts w:ascii="Calibri" w:hAnsi="Calibri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2025-09-09T17:56:30Z</dcterms:created>
  <dcterms:modified xsi:type="dcterms:W3CDTF">2025-09-15T09:06:32Z</dcterms:modified>
</cp:coreProperties>
</file>